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5A62E9" w:rsidRPr="005A62E9" w:rsidRDefault="005A62E9" w:rsidP="005A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2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внеурочной деятельности</w:t>
      </w:r>
    </w:p>
    <w:p w:rsidR="00566047" w:rsidRDefault="005A62E9" w:rsidP="005F004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62E9">
        <w:rPr>
          <w:rFonts w:ascii="Times New Roman" w:eastAsia="Calibri" w:hAnsi="Times New Roman" w:cs="Times New Roman"/>
          <w:b/>
          <w:sz w:val="28"/>
          <w:szCs w:val="28"/>
        </w:rPr>
        <w:t>по профорие</w:t>
      </w:r>
      <w:r>
        <w:rPr>
          <w:rFonts w:ascii="Times New Roman" w:eastAsia="Calibri" w:hAnsi="Times New Roman" w:cs="Times New Roman"/>
          <w:b/>
          <w:sz w:val="28"/>
          <w:szCs w:val="28"/>
        </w:rPr>
        <w:t>нтации «Билет в будущее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»   для 8</w:t>
      </w:r>
      <w:r w:rsidRPr="005A62E9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F845B7">
        <w:rPr>
          <w:rFonts w:ascii="Times New Roman" w:eastAsia="Calibri" w:hAnsi="Times New Roman" w:cs="Times New Roman"/>
          <w:sz w:val="24"/>
          <w:szCs w:val="24"/>
        </w:rPr>
        <w:t xml:space="preserve"> для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</w:t>
      </w:r>
      <w:proofErr w:type="spellStart"/>
      <w:r w:rsidRPr="0056604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DE6444" w:rsidRDefault="00DE6444" w:rsidP="00DE6444">
      <w:pPr>
        <w:numPr>
          <w:ilvl w:val="0"/>
          <w:numId w:val="18"/>
        </w:numPr>
        <w:tabs>
          <w:tab w:val="left" w:pos="426"/>
        </w:tabs>
        <w:spacing w:after="0" w:line="254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Устав МБОУ Кринично-Лугской СОШ </w:t>
      </w:r>
    </w:p>
    <w:p w:rsidR="00DE6444" w:rsidRDefault="00DE6444" w:rsidP="00DE6444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Основная образовательная программа основного общего образования </w:t>
      </w:r>
      <w:proofErr w:type="spellStart"/>
      <w:r>
        <w:rPr>
          <w:rFonts w:ascii="Times New Roman" w:hAnsi="Times New Roman"/>
          <w:bCs/>
          <w:kern w:val="2"/>
          <w:sz w:val="24"/>
          <w:szCs w:val="24"/>
        </w:rPr>
        <w:t>МБОУКринично</w:t>
      </w:r>
      <w:proofErr w:type="spellEnd"/>
      <w:r>
        <w:rPr>
          <w:rFonts w:ascii="Times New Roman" w:hAnsi="Times New Roman"/>
          <w:bCs/>
          <w:kern w:val="2"/>
          <w:sz w:val="24"/>
          <w:szCs w:val="24"/>
        </w:rPr>
        <w:t>-Лугской  СОШ  (утверждена приказом директора</w:t>
      </w:r>
      <w:proofErr w:type="gramStart"/>
      <w:r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5A62E9">
        <w:rPr>
          <w:rFonts w:ascii="Times New Roman" w:hAnsi="Times New Roman"/>
          <w:bCs/>
          <w:kern w:val="2"/>
          <w:sz w:val="24"/>
          <w:szCs w:val="24"/>
        </w:rPr>
        <w:t>;</w:t>
      </w:r>
      <w:proofErr w:type="gramEnd"/>
    </w:p>
    <w:p w:rsidR="00DE6444" w:rsidRDefault="00DE6444" w:rsidP="00DE6444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Учебный план МБОУ Кринично-Лугской СОШ  на 2023/2024 учебный год;</w:t>
      </w:r>
    </w:p>
    <w:p w:rsidR="00DE6444" w:rsidRDefault="00DE6444" w:rsidP="00DE6444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Положение о рабочей программе учебных предметов, курсов, дисциплин (модулей) МБОУ Кринично-Лугской СОШ (</w:t>
      </w:r>
      <w:r>
        <w:rPr>
          <w:rFonts w:ascii="Times New Roman" w:hAnsi="Times New Roman"/>
          <w:bCs/>
          <w:kern w:val="2"/>
          <w:sz w:val="24"/>
          <w:szCs w:val="24"/>
        </w:rPr>
        <w:t>утверждено приказом директора )</w:t>
      </w:r>
      <w:r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DE6444" w:rsidRDefault="00DE6444" w:rsidP="00DE644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Default="00DE6444" w:rsidP="00DE644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 xml:space="preserve">Согласно учебному плану МБОУ Кринично-Лугской СОШ  </w:t>
      </w:r>
      <w:r w:rsidR="00810C15">
        <w:rPr>
          <w:rFonts w:ascii="Times New Roman" w:hAnsi="Times New Roman"/>
          <w:kern w:val="2"/>
          <w:sz w:val="24"/>
          <w:szCs w:val="24"/>
        </w:rPr>
        <w:t>на изучение курса «</w:t>
      </w:r>
      <w:proofErr w:type="spellStart"/>
      <w:r w:rsidR="00810C15"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F845B7">
        <w:rPr>
          <w:rFonts w:ascii="Times New Roman" w:hAnsi="Times New Roman"/>
          <w:kern w:val="2"/>
          <w:sz w:val="24"/>
          <w:szCs w:val="24"/>
        </w:rPr>
        <w:t>» в 8</w:t>
      </w:r>
      <w:r w:rsidR="00810C15"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Pr="00566047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46B0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задач при переходе обучающихся 6-11 классов с одной ступени обучения на другую (при переходе из класса в класс).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компонент - 10 часов (подготовка  и участие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интернет-платформе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Программа способствует развитию личностных, метапредметных и трудовых результатов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• формирование готовности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 w:rsidR="00566047" w:rsidRPr="00566047">
        <w:rPr>
          <w:rFonts w:ascii="Times New Roman" w:hAnsi="Times New Roman" w:cs="Times New Roman"/>
          <w:sz w:val="24"/>
          <w:szCs w:val="24"/>
        </w:rPr>
        <w:t>рягулятивные</w:t>
      </w:r>
      <w:proofErr w:type="spellEnd"/>
      <w:r w:rsidR="00566047" w:rsidRPr="00566047">
        <w:rPr>
          <w:rFonts w:ascii="Times New Roman" w:hAnsi="Times New Roman" w:cs="Times New Roman"/>
          <w:sz w:val="24"/>
          <w:szCs w:val="24"/>
        </w:rPr>
        <w:t>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F845B7" w:rsidRPr="00F845B7" w:rsidRDefault="00F845B7" w:rsidP="00F84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B7">
        <w:rPr>
          <w:rFonts w:ascii="Times New Roman" w:eastAsia="Times New Roman" w:hAnsi="Times New Roman" w:cs="Times New Roman"/>
          <w:sz w:val="24"/>
          <w:szCs w:val="24"/>
        </w:rPr>
        <w:t>8 класс: урок знакомит обучающихся с разнообразием направлений профессионального развития, возможностями прогнозирования результатов профе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ссионального самоопределения. </w:t>
      </w:r>
      <w:r w:rsidRPr="00F845B7">
        <w:rPr>
          <w:rFonts w:ascii="Times New Roman" w:eastAsia="Times New Roman" w:hAnsi="Times New Roman" w:cs="Times New Roman"/>
          <w:sz w:val="24"/>
          <w:szCs w:val="24"/>
        </w:rPr>
        <w:t xml:space="preserve">На уроке раскрываются существующие профессиональные направления, варианты получения профессионального образования (уровни образования). </w:t>
      </w:r>
    </w:p>
    <w:p w:rsidR="00546B0D" w:rsidRPr="00F845B7" w:rsidRDefault="00F845B7" w:rsidP="00F84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B7">
        <w:rPr>
          <w:rFonts w:ascii="Times New Roman" w:eastAsia="Times New Roman" w:hAnsi="Times New Roman" w:cs="Times New Roman"/>
          <w:sz w:val="24"/>
          <w:szCs w:val="24"/>
        </w:rPr>
        <w:t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 направлениями профессиональной деятельности.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Профориентационная диагностика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790AB0" w:rsidRPr="00790AB0" w:rsidRDefault="00790AB0" w:rsidP="00EF639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gramEnd"/>
      <w:r w:rsidR="00764A38">
        <w:fldChar w:fldCharType="begin"/>
      </w:r>
      <w:r w:rsidR="00764A38">
        <w:instrText>HYPERLINK "https://bvbinfo.ru/" \h</w:instrText>
      </w:r>
      <w:r w:rsidR="00764A38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A38">
        <w:fldChar w:fldCharType="end"/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-площадки,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F845B7">
        <w:rPr>
          <w:rFonts w:ascii="Times New Roman" w:eastAsia="Times New Roman" w:hAnsi="Times New Roman" w:cs="Times New Roman"/>
          <w:sz w:val="24"/>
          <w:szCs w:val="24"/>
          <w:highlight w:val="white"/>
        </w:rPr>
        <w:t>Версия 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Развернутая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интернет-платформе</w:t>
      </w:r>
      <w:proofErr w:type="gramEnd"/>
      <w:r w:rsidR="00764A38">
        <w:fldChar w:fldCharType="begin"/>
      </w:r>
      <w:r w:rsidR="00764A38">
        <w:instrText>HYPERLINK "https://bvbinfo.ru/" \h</w:instrText>
      </w:r>
      <w:r w:rsidR="00764A38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64A38"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F845B7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процессов профессионального самоопределения на основе знакомства с познавательными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 о достижениях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764A38">
              <w:fldChar w:fldCharType="begin"/>
            </w:r>
            <w:r w:rsidR="00764A38">
              <w:instrText>HYPERLINK "https://bvbinfo.ru/" \h</w:instrText>
            </w:r>
            <w:r w:rsidR="00764A38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4A38">
              <w:fldChar w:fldCharType="end"/>
            </w:r>
            <w:hyperlink r:id="rId1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546B0D" w:rsidRDefault="00546B0D" w:rsidP="00F845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Тематический </w:t>
            </w:r>
            <w:proofErr w:type="spellStart"/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45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8 к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лассе (рекомендуется проводить после стартового урока): урок знакомит обучающихся с разнообразием направлений профессионального развития, возможност</w:t>
            </w:r>
            <w:r w:rsid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ями прогнозирования результатов 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профессионального самоопределения.   На 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уроке раскрываются существующие профессиональные направления, варианты получения профессионального образования (уровни образования). 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</w:t>
            </w:r>
            <w:r w:rsid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направлениями профессиональной 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5386" w:type="dxa"/>
          </w:tcPr>
          <w:p w:rsidR="00F845B7" w:rsidRDefault="00F845B7" w:rsidP="00F845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Каждому компоненту посвящен отдельный блок урока, в рамках которого обучающиеся обмениваются мнениями, смотрят видеоролики, выполняют практические задания.</w:t>
            </w:r>
          </w:p>
          <w:p w:rsidR="00F845B7" w:rsidRDefault="00F845B7" w:rsidP="00F845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Вопросы, которые ставятся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845B7" w:rsidRDefault="00F845B7" w:rsidP="00F845B7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профессия?</w:t>
            </w:r>
          </w:p>
          <w:p w:rsidR="00F845B7" w:rsidRDefault="00F845B7" w:rsidP="00F845B7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Насколько разнообразен мир профессий?</w:t>
            </w:r>
          </w:p>
          <w:p w:rsidR="00F845B7" w:rsidRDefault="00F845B7" w:rsidP="00F845B7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существуют профессиональные направления?</w:t>
            </w:r>
          </w:p>
          <w:p w:rsidR="00F845B7" w:rsidRDefault="00F845B7" w:rsidP="00F845B7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выбрать соответствующий профессиональным запросам уровень образования?</w:t>
            </w:r>
          </w:p>
          <w:p w:rsidR="00F845B7" w:rsidRDefault="00F845B7" w:rsidP="00F845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F845B7" w:rsidP="00F845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>
              <w:fldChar w:fldCharType="begin"/>
            </w:r>
            <w:r>
              <w:instrText xml:space="preserve"> HYPERLINK "https://bvbinfo.ru/"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профессиональных склонностей.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«Мой выбор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8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546B0D" w:rsidRPr="002949BA" w:rsidRDefault="00F845B7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 8</w:t>
            </w:r>
            <w:r w:rsidR="00546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6B0D"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включает только диагностику готовности к профессиональному самоопределению и не включает диагностику ценностных ориентиров.</w:t>
            </w:r>
          </w:p>
          <w:p w:rsidR="00546B0D" w:rsidRPr="002949BA" w:rsidRDefault="00546B0D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 по результатам онлайн-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1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новом учебном году. Осуществляется для навигации по активностям проекта Билет в будущее.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предложены варианты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764A38">
              <w:fldChar w:fldCharType="begin"/>
            </w:r>
            <w:r w:rsidR="00764A38">
              <w:instrText>HYPERLINK "https://bvbinfo.ru/" \h</w:instrText>
            </w:r>
            <w:r w:rsidR="00764A38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4A38">
              <w:fldChar w:fldCharType="end"/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интерактивных заданий, направленных на получение новых знаний о профессиях, об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обучающихся с рынком труда, с различными отраслями и профессиями, с многообразием вариантов профессионального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выбора;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Профессиональные пробы на основе платформы,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Виды: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-площадках, сервисах видеоконференций и т.п.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очных профессиональных пробах на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. Рекомендации по дальнейшим вариантам получения образования, а также перспективным отраслям и профессиям.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консультации по результатам повторной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будет предложен набор диагностических методик на основании опыта предварительного участия в проекте, данный уровень определяется на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рефлексивный урок 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«Планирую»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рефлексивный урок (проводится в конце курса, по итогам всех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проведения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в случае 8-9 классов и пр.).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Сценарий урока построен вокруг обсуждения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материалы для проведения урока доступны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751ED9">
        <w:rPr>
          <w:rFonts w:ascii="Times New Roman" w:hAnsi="Times New Roman"/>
          <w:b/>
          <w:sz w:val="24"/>
          <w:szCs w:val="24"/>
        </w:rPr>
        <w:t>профориентации</w:t>
      </w:r>
      <w:r w:rsidR="001070B8">
        <w:rPr>
          <w:rFonts w:ascii="Times New Roman" w:hAnsi="Times New Roman"/>
          <w:b/>
          <w:sz w:val="24"/>
          <w:szCs w:val="24"/>
        </w:rPr>
        <w:t xml:space="preserve"> «Билет в Будущее»</w:t>
      </w:r>
      <w:r w:rsidR="00751E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на</w:t>
      </w:r>
      <w:r w:rsidR="00751ED9">
        <w:rPr>
          <w:rFonts w:ascii="Times New Roman" w:hAnsi="Times New Roman"/>
          <w:b/>
          <w:sz w:val="24"/>
          <w:szCs w:val="24"/>
        </w:rPr>
        <w:t>правлению, «</w:t>
      </w:r>
      <w:proofErr w:type="spellStart"/>
      <w:r w:rsidR="00751ED9">
        <w:rPr>
          <w:rFonts w:ascii="Times New Roman" w:hAnsi="Times New Roman"/>
          <w:b/>
          <w:sz w:val="24"/>
          <w:szCs w:val="24"/>
        </w:rPr>
        <w:t>Профмининимум</w:t>
      </w:r>
      <w:proofErr w:type="spellEnd"/>
      <w:r w:rsidR="00751ED9">
        <w:rPr>
          <w:rFonts w:ascii="Times New Roman" w:hAnsi="Times New Roman"/>
          <w:b/>
          <w:sz w:val="24"/>
          <w:szCs w:val="24"/>
        </w:rPr>
        <w:t>»</w:t>
      </w:r>
    </w:p>
    <w:p w:rsidR="00F30CCF" w:rsidRDefault="00F845B7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8</w:t>
      </w:r>
      <w:r w:rsidR="00F30CCF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751ED9">
        <w:rPr>
          <w:rFonts w:ascii="Times New Roman" w:hAnsi="Times New Roman"/>
          <w:b/>
          <w:sz w:val="24"/>
          <w:szCs w:val="24"/>
        </w:rPr>
        <w:t>223-2024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 выставка «Лаборатория 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C030EC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EC" w:rsidRDefault="00C030EC" w:rsidP="00810C15">
      <w:pPr>
        <w:spacing w:after="0" w:line="240" w:lineRule="auto"/>
      </w:pPr>
      <w:r>
        <w:separator/>
      </w:r>
    </w:p>
  </w:endnote>
  <w:endnote w:type="continuationSeparator" w:id="0">
    <w:p w:rsidR="00C030EC" w:rsidRDefault="00C030EC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EndPr/>
    <w:sdtContent>
      <w:p w:rsidR="00810C15" w:rsidRPr="00810C15" w:rsidRDefault="00810C15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="00764A38" w:rsidRPr="00810C15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="00764A38" w:rsidRPr="00810C15">
          <w:rPr>
            <w:rFonts w:cs="Times New Roman"/>
            <w:b/>
          </w:rPr>
          <w:fldChar w:fldCharType="separate"/>
        </w:r>
        <w:r w:rsidR="005F0047" w:rsidRPr="005F0047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2</w:t>
        </w:r>
        <w:r w:rsidR="00764A38"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EC" w:rsidRDefault="00C030EC" w:rsidP="00810C15">
      <w:pPr>
        <w:spacing w:after="0" w:line="240" w:lineRule="auto"/>
      </w:pPr>
      <w:r>
        <w:separator/>
      </w:r>
    </w:p>
  </w:footnote>
  <w:footnote w:type="continuationSeparator" w:id="0">
    <w:p w:rsidR="00C030EC" w:rsidRDefault="00C030EC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C15"/>
    <w:rsid w:val="000B1EF6"/>
    <w:rsid w:val="001070B8"/>
    <w:rsid w:val="0015285B"/>
    <w:rsid w:val="002949BA"/>
    <w:rsid w:val="00546B0D"/>
    <w:rsid w:val="00557864"/>
    <w:rsid w:val="00566047"/>
    <w:rsid w:val="005A62E9"/>
    <w:rsid w:val="005F0047"/>
    <w:rsid w:val="00751ED9"/>
    <w:rsid w:val="00764A38"/>
    <w:rsid w:val="00790AB0"/>
    <w:rsid w:val="00810C15"/>
    <w:rsid w:val="00841A4E"/>
    <w:rsid w:val="00877FBA"/>
    <w:rsid w:val="00AA6FC0"/>
    <w:rsid w:val="00B72B78"/>
    <w:rsid w:val="00B82539"/>
    <w:rsid w:val="00C030EC"/>
    <w:rsid w:val="00C94952"/>
    <w:rsid w:val="00CD0707"/>
    <w:rsid w:val="00DE6444"/>
    <w:rsid w:val="00F30CCF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bvbinf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5364</Words>
  <Characters>30577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Чернова</cp:lastModifiedBy>
  <cp:revision>18</cp:revision>
  <dcterms:created xsi:type="dcterms:W3CDTF">2023-08-14T08:56:00Z</dcterms:created>
  <dcterms:modified xsi:type="dcterms:W3CDTF">2023-09-08T10:24:00Z</dcterms:modified>
</cp:coreProperties>
</file>