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Pr="00571C36" w:rsidRDefault="00810C15" w:rsidP="00571C3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36">
        <w:rPr>
          <w:rFonts w:ascii="Times New Roman" w:hAnsi="Times New Roman" w:cs="Times New Roman"/>
          <w:b/>
          <w:sz w:val="28"/>
          <w:szCs w:val="28"/>
        </w:rPr>
        <w:lastRenderedPageBreak/>
        <w:t>Программа внеурочной деятельности</w:t>
      </w:r>
    </w:p>
    <w:p w:rsidR="00566047" w:rsidRPr="00571C36" w:rsidRDefault="00571C36" w:rsidP="00571C36">
      <w:pPr>
        <w:pStyle w:val="ab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1C36">
        <w:rPr>
          <w:rFonts w:ascii="Times New Roman" w:eastAsia="Calibri" w:hAnsi="Times New Roman" w:cs="Times New Roman"/>
          <w:b/>
          <w:sz w:val="28"/>
          <w:szCs w:val="28"/>
        </w:rPr>
        <w:t>по профориентации «Биле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 в будущее» </w:t>
      </w:r>
      <w:r w:rsidRPr="00571C36">
        <w:rPr>
          <w:rFonts w:ascii="Times New Roman" w:eastAsia="Calibri" w:hAnsi="Times New Roman" w:cs="Times New Roman"/>
          <w:b/>
          <w:sz w:val="28"/>
          <w:szCs w:val="28"/>
        </w:rPr>
        <w:t xml:space="preserve">  для 6 класса</w:t>
      </w:r>
    </w:p>
    <w:p w:rsidR="00571C36" w:rsidRDefault="00571C36" w:rsidP="005660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6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</w:t>
      </w:r>
      <w:r w:rsidR="00906D70">
        <w:rPr>
          <w:rFonts w:ascii="Times New Roman" w:hAnsi="Times New Roman"/>
          <w:kern w:val="2"/>
          <w:sz w:val="24"/>
          <w:szCs w:val="24"/>
        </w:rPr>
        <w:t xml:space="preserve">Кринично-Лугской </w:t>
      </w:r>
      <w:r>
        <w:rPr>
          <w:rFonts w:ascii="Times New Roman" w:hAnsi="Times New Roman"/>
          <w:kern w:val="2"/>
          <w:sz w:val="24"/>
          <w:szCs w:val="24"/>
        </w:rPr>
        <w:t xml:space="preserve">СОШ 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</w:t>
      </w:r>
      <w:r w:rsidR="00906D70">
        <w:rPr>
          <w:rFonts w:ascii="Times New Roman" w:hAnsi="Times New Roman"/>
          <w:bCs/>
          <w:kern w:val="2"/>
          <w:sz w:val="24"/>
          <w:szCs w:val="24"/>
        </w:rPr>
        <w:t>Кринично</w:t>
      </w:r>
      <w:proofErr w:type="spellEnd"/>
      <w:r w:rsidR="00906D70">
        <w:rPr>
          <w:rFonts w:ascii="Times New Roman" w:hAnsi="Times New Roman"/>
          <w:bCs/>
          <w:kern w:val="2"/>
          <w:sz w:val="24"/>
          <w:szCs w:val="24"/>
        </w:rPr>
        <w:t xml:space="preserve">-Лугской </w:t>
      </w:r>
      <w:r w:rsidR="00571C36">
        <w:rPr>
          <w:rFonts w:ascii="Times New Roman" w:hAnsi="Times New Roman"/>
          <w:bCs/>
          <w:kern w:val="2"/>
          <w:sz w:val="24"/>
          <w:szCs w:val="24"/>
        </w:rPr>
        <w:t xml:space="preserve"> СОШ</w:t>
      </w:r>
      <w:proofErr w:type="gramStart"/>
      <w:r w:rsidR="00571C36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4"/>
          <w:szCs w:val="24"/>
        </w:rPr>
        <w:t>;</w:t>
      </w:r>
      <w:proofErr w:type="gramEnd"/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чебный план МБОУ </w:t>
      </w:r>
      <w:r w:rsidR="00906D70">
        <w:rPr>
          <w:rFonts w:ascii="Times New Roman" w:hAnsi="Times New Roman"/>
          <w:kern w:val="2"/>
          <w:sz w:val="24"/>
          <w:szCs w:val="24"/>
        </w:rPr>
        <w:t xml:space="preserve">Кринично-Лугской </w:t>
      </w:r>
      <w:r w:rsidR="0015285B">
        <w:rPr>
          <w:rFonts w:ascii="Times New Roman" w:hAnsi="Times New Roman"/>
          <w:kern w:val="2"/>
          <w:sz w:val="24"/>
          <w:szCs w:val="24"/>
        </w:rPr>
        <w:t>СОШ 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proofErr w:type="gramStart"/>
      <w:r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</w:t>
      </w:r>
      <w:r w:rsidR="00906D70" w:rsidRPr="00906D70">
        <w:rPr>
          <w:rFonts w:ascii="Times New Roman" w:hAnsi="Times New Roman"/>
          <w:kern w:val="2"/>
          <w:sz w:val="24"/>
          <w:szCs w:val="24"/>
        </w:rPr>
        <w:t xml:space="preserve"> </w:t>
      </w:r>
      <w:r w:rsidR="00906D70">
        <w:rPr>
          <w:rFonts w:ascii="Times New Roman" w:hAnsi="Times New Roman"/>
          <w:kern w:val="2"/>
          <w:sz w:val="24"/>
          <w:szCs w:val="24"/>
        </w:rPr>
        <w:t>Кринично-Лугской</w:t>
      </w:r>
      <w:r>
        <w:rPr>
          <w:rFonts w:ascii="Times New Roman" w:hAnsi="Times New Roman"/>
          <w:kern w:val="2"/>
          <w:sz w:val="24"/>
          <w:szCs w:val="24"/>
        </w:rPr>
        <w:t xml:space="preserve"> СОШ (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утверждено приказом директора </w:t>
      </w:r>
      <w:proofErr w:type="gramEnd"/>
    </w:p>
    <w:p w:rsidR="00810C15" w:rsidRPr="00810C15" w:rsidRDefault="00810C15" w:rsidP="00571C3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</w:t>
      </w:r>
      <w:r w:rsidR="00906D70">
        <w:rPr>
          <w:rFonts w:ascii="Times New Roman" w:hAnsi="Times New Roman"/>
          <w:kern w:val="2"/>
          <w:sz w:val="24"/>
          <w:szCs w:val="24"/>
        </w:rPr>
        <w:t xml:space="preserve">Кринично-Лугской </w:t>
      </w:r>
      <w:r>
        <w:rPr>
          <w:rFonts w:ascii="Times New Roman" w:hAnsi="Times New Roman"/>
          <w:kern w:val="2"/>
          <w:sz w:val="24"/>
          <w:szCs w:val="24"/>
        </w:rPr>
        <w:t>СОШ  на изучение 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» в 6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P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 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C36" w:rsidRDefault="00571C3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1C36" w:rsidRDefault="00571C36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Тематический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6 класс: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ХОЧУ» — ваши интересы;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«МОГУ» — ваши способности;</w:t>
      </w:r>
    </w:p>
    <w:p w:rsidR="00790AB0" w:rsidRDefault="00790AB0" w:rsidP="00790AB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«БУДУ» — востребованность обучающегося на рынке труда в будущем.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AB0" w:rsidRDefault="00790AB0" w:rsidP="00790AB0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труда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общем: формирование системного представления о мире профессий и значимости трудовой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деятельностинапример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 различные качества или навыки могут по-разному реализовываться в разных профессиональных направления.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Помощь в выборе увлечения, в котором обучающийся может реализовать свои интересы, развивать возможности и помогать окружающим.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Поиск дополнительных занятий и увлечений.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Индустриальная среда;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-площадки, сервисы 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6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6 класса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содержание Урока построено на трех базовых компонентах, которые необходимо учитывать при выборе: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ХОЧУ» — ваши интересы;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«МОГУ» — ваши способности;</w:t>
            </w:r>
          </w:p>
          <w:p w:rsidR="00790AB0" w:rsidRPr="00790AB0" w:rsidRDefault="00790AB0" w:rsidP="00790AB0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«БУДУ» — востребованность обучающегося на рынке труда в будущем.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 о профессиях с постепенным расширением представлений о мире профессионального труда вообще (формирование системного представления о мире профессий, например, как различные качества или навыки могут по-разному воплощаться в разных профессиях).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выборе увлечения, в котором обучающийся может реализовать свои интересы и развивать возможности.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дополнительных занятий и увлечений.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Каждому компоненту посвящен отдельный блок урока, в рамках которого обучающиеся дискутируют, смотрят видеоролики, выполняют практические задания.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 каждого блока обучающимся предлагается раздаточный материал (чек-лист) с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рекомендациями (его можно использовать в качестве домашнего задания).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распознать свои интересы?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способности могут пригодиться при освоении профессии, и как их развивать?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личностные качества, и почему они важны для выбора карьерного пути?</w:t>
            </w:r>
          </w:p>
          <w:p w:rsidR="00790AB0" w:rsidRPr="00790AB0" w:rsidRDefault="00790AB0" w:rsidP="00790AB0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в будущем востребованным специалистом?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платформе</w:t>
            </w:r>
            <w:hyperlink r:id="rId19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профессиональных склонностей.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2949BA" w:rsidRDefault="00790AB0" w:rsidP="00F90727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2949BA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6 класса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AB0" w:rsidRPr="002949BA" w:rsidRDefault="002949BA" w:rsidP="00F90727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Версия 6 </w:t>
            </w:r>
            <w:r w:rsidR="00790AB0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790AB0" w:rsidRPr="002949BA" w:rsidRDefault="00790AB0" w:rsidP="00147EF9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790AB0" w:rsidRPr="00790AB0" w:rsidRDefault="00790AB0" w:rsidP="00790AB0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труда, с различными отраслями и профессиями, с многообразием вариантов профессионального выбора;</w:t>
            </w:r>
          </w:p>
          <w:p w:rsidR="00790AB0" w:rsidRPr="00790AB0" w:rsidRDefault="00790AB0" w:rsidP="00790AB0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т.п., онлайн-формат, реализуемый через сеть 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-площадках, сервисах видеоконференций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т.п.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790AB0" w:rsidRPr="00790AB0" w:rsidRDefault="00790AB0" w:rsidP="00790AB0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. Рекомендации по дальнейшим вариантам получения образования, а также перспективным отраслям и 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>профессиям.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 консультации по результатам повторной онлайн-диагностики. 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9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790AB0" w:rsidRPr="00790AB0" w:rsidRDefault="00790AB0" w:rsidP="00790AB0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790AB0" w:rsidRPr="00790AB0" w:rsidRDefault="00790AB0" w:rsidP="000B1EF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790AB0" w:rsidRPr="00790AB0" w:rsidRDefault="00790AB0" w:rsidP="00790AB0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интернет-платформе: </w:t>
            </w:r>
            <w:hyperlink r:id="rId3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F30CCF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6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0C7ABB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BB" w:rsidRDefault="000C7ABB" w:rsidP="00810C15">
      <w:pPr>
        <w:spacing w:after="0" w:line="240" w:lineRule="auto"/>
      </w:pPr>
      <w:r>
        <w:separator/>
      </w:r>
    </w:p>
  </w:endnote>
  <w:endnote w:type="continuationSeparator" w:id="0">
    <w:p w:rsidR="000C7ABB" w:rsidRDefault="000C7ABB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Pr="00810C15">
          <w:rPr>
            <w:rFonts w:cs="Times New Roman"/>
            <w:b/>
          </w:rPr>
          <w:fldChar w:fldCharType="separate"/>
        </w:r>
        <w:r w:rsidR="00571C36" w:rsidRPr="00571C36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9</w:t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BB" w:rsidRDefault="000C7ABB" w:rsidP="00810C15">
      <w:pPr>
        <w:spacing w:after="0" w:line="240" w:lineRule="auto"/>
      </w:pPr>
      <w:r>
        <w:separator/>
      </w:r>
    </w:p>
  </w:footnote>
  <w:footnote w:type="continuationSeparator" w:id="0">
    <w:p w:rsidR="000C7ABB" w:rsidRDefault="000C7ABB" w:rsidP="00810C15">
      <w:pPr>
        <w:spacing w:after="0" w:line="240" w:lineRule="auto"/>
      </w:pPr>
      <w:r>
        <w:continuationSeparator/>
      </w:r>
    </w:p>
  </w:footnote>
  <w:footnote w:id="1">
    <w:p w:rsidR="00790AB0" w:rsidRDefault="00790AB0" w:rsidP="00790AB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Основано на идеях российских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профориентологов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Е.А. Климова, Н.С.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Пряжникова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Н. Ф. Родичева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5"/>
    <w:rsid w:val="000B1EF6"/>
    <w:rsid w:val="000C7ABB"/>
    <w:rsid w:val="001070B8"/>
    <w:rsid w:val="0015285B"/>
    <w:rsid w:val="002949BA"/>
    <w:rsid w:val="00566047"/>
    <w:rsid w:val="00571C36"/>
    <w:rsid w:val="00751ED9"/>
    <w:rsid w:val="00790AB0"/>
    <w:rsid w:val="007A6EDD"/>
    <w:rsid w:val="00810C15"/>
    <w:rsid w:val="00841A4E"/>
    <w:rsid w:val="00877FBA"/>
    <w:rsid w:val="00906D70"/>
    <w:rsid w:val="00B72B78"/>
    <w:rsid w:val="00C94952"/>
    <w:rsid w:val="00F3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No Spacing"/>
    <w:uiPriority w:val="1"/>
    <w:qFormat/>
    <w:rsid w:val="00571C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styleId="ab">
    <w:name w:val="No Spacing"/>
    <w:uiPriority w:val="1"/>
    <w:qFormat/>
    <w:rsid w:val="00571C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5418</Words>
  <Characters>30884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12</cp:revision>
  <dcterms:created xsi:type="dcterms:W3CDTF">2023-08-14T08:56:00Z</dcterms:created>
  <dcterms:modified xsi:type="dcterms:W3CDTF">2023-09-08T10:20:00Z</dcterms:modified>
</cp:coreProperties>
</file>